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σPSII′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A Generalized Additive Model (GAM)</w:t>
      </w:r>
      <w:r>
        <w:t xml:space="preserve"> </w:t>
      </w:r>
      <w:r>
        <w:t xml:space="preserve">(Wood 2017)</w:t>
      </w:r>
      <w:r>
        <w:t xml:space="preserve"> </w:t>
      </w:r>
      <w:r>
        <w:t xml:space="preserve">was applied to the relation of chlorophyll-specific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the-number-of-picocyanobacteria-cells"/>
    <w:p>
      <w:pPr>
        <w:pStyle w:val="Heading2"/>
      </w:pPr>
      <w:r>
        <w:t xml:space="preserve">The number of picocyanobacteria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2807d2a019a387a44b65567bde2cde9171e561b"/>
    <w:p>
      <w:pPr>
        <w:pStyle w:val="Heading2"/>
      </w:pPr>
      <w:r>
        <w:t xml:space="preserve">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the isocline defining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contour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t xml:space="preserve">Figure 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We also showed that alpha parameters of the initial rise of growth rate (α) vs. cumulative diel PUR, estimated from data pooled for each photoperiod increased with increasing photoperiod for all strains. The highest increase (&gt;2-fold) of α in low cumulative diel PUR across photoperiods was recorded for PC-rich_056 (Fig.</w:t>
      </w:r>
      <w:r>
        <w:t xml:space="preserve"> </w:t>
      </w:r>
      <w:r>
        <w:t xml:space="preserve">5</w:t>
      </w:r>
      <w:r>
        <w:t xml:space="preserve">B).</w:t>
      </w:r>
    </w:p>
    <w:p>
      <w:pPr>
        <w:pStyle w:val="CaptionedFigure"/>
      </w:pPr>
      <w:r>
        <w:drawing>
          <wp:inline>
            <wp:extent cx="5943600" cy="4457700"/>
            <wp:effectExtent b="0" l="0" r="0" t="0"/>
            <wp:docPr descr="Figure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t xml:space="preserve">Figure 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We showed that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saturation of α parameter at 300 µmol photons m</w:t>
      </w:r>
      <w:r>
        <w:rPr>
          <w:vertAlign w:val="superscript"/>
        </w:rPr>
        <w:t xml:space="preserve">−2</w:t>
      </w:r>
      <w:r>
        <w:t xml:space="preserve">s</w:t>
      </w:r>
      <w:r>
        <w:rPr>
          <w:vertAlign w:val="superscript"/>
        </w:rPr>
        <w:t xml:space="preserve">−1</w:t>
      </w:r>
      <w:r>
        <w:t xml:space="preserve"> </w:t>
      </w:r>
      <w:r>
        <w:t xml:space="preserve">(Fig.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t xml:space="preserve">Figure 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t xml:space="preserve">Figure 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t xml:space="preserve">Figure 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t xml:space="preserve">Figure 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pattern across increasing photoperiods for each strain except for PE-rich_0127 where inhibitions were noted. The highest increase (&gt;2-fold) of α in low cumulative diel PUR from the lowest to the highest photoperiod was recorded for PC-rich_077 (Fig.</w:t>
      </w:r>
      <w:r>
        <w:t xml:space="preserve"> </w:t>
      </w:r>
      <w:r>
        <w:t xml:space="preserve">10</w:t>
      </w:r>
      <w:r>
        <w:t xml:space="preserve">B).</w:t>
      </w:r>
    </w:p>
    <w:p>
      <w:pPr>
        <w:pStyle w:val="CaptionedFigure"/>
      </w:pPr>
      <w:r>
        <w:drawing>
          <wp:inline>
            <wp:extent cx="5943600" cy="4457700"/>
            <wp:effectExtent b="0" l="0" r="0" t="0"/>
            <wp:docPr descr="Figure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t xml:space="preserve">Figure 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eed77b0a282fa41f73d019b6bbd262f3c63362c"/>
    <w:p>
      <w:pPr>
        <w:pStyle w:val="Heading2"/>
      </w:pPr>
      <w:r>
        <w:t xml:space="preserve">Photic regimes - implications for picocyanobacteria growth and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w:t>
      </w:r>
      <w:r>
        <w:t xml:space="preserve"> </w:t>
      </w:r>
      <w:r>
        <w:t xml:space="preserve">5</w:t>
      </w:r>
      <w:r>
        <w:t xml:space="preserve">, Fig.</w:t>
      </w:r>
      <w:r>
        <w:t xml:space="preserve"> </w:t>
      </w:r>
      <w:r>
        <w:t xml:space="preserve">6</w:t>
      </w:r>
      <w:r>
        <w:t xml:space="preserve">);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w:t>
      </w:r>
      <w:r>
        <w:t xml:space="preserve"> </w:t>
      </w:r>
      <w:r>
        <w:t xml:space="preserve">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 more about pre-stationary phasexxxx).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 new algorithm for the derivation of PSII electron transport rate per unit volume (</w:t>
      </w:r>
      <w:r>
        <w:rPr>
          <w:iCs/>
          <w:i/>
        </w:rPr>
        <w:t xml:space="preserve">JV</w:t>
      </w:r>
      <w:r>
        <w:rPr>
          <w:vertAlign w:val="subscript"/>
        </w:rPr>
        <w:t xml:space="preserve">PSII</w:t>
      </w:r>
      <w:r>
        <w:t xml:space="preserve">), called</w:t>
      </w:r>
      <w:r>
        <w:t xml:space="preserve"> </w:t>
      </w:r>
      <w:r>
        <w:t xml:space="preserve">“</w:t>
      </w:r>
      <w:r>
        <w:t xml:space="preserve">absorption algorithm</w:t>
      </w:r>
      <w:r>
        <w:t xml:space="preserve">”</w:t>
      </w:r>
      <w:r>
        <w:t xml:space="preserve">, was proposed by</w:t>
      </w:r>
      <w:r>
        <w:t xml:space="preserve"> </w:t>
      </w:r>
      <w:r>
        <w:t xml:space="preserve">Oxborough et al. (2012)</w:t>
      </w:r>
      <w:r>
        <w:t xml:space="preserve">. In this work, for the first time, we checked whether the growth rate of PC-rich and PE-rich picocyanobacteria is dependent on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w:t>
      </w:r>
      <w:r>
        <w:t xml:space="preserve"> </w:t>
      </w:r>
      <w:r>
        <w:t xml:space="preserve">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Elevated CO</w:t>
      </w:r>
      <w:r>
        <w:rPr>
          <w:vertAlign w:val="subscript"/>
        </w:rPr>
        <w:t xml:space="preserve">2</w:t>
      </w:r>
      <w:r>
        <w:t xml:space="preserve"> </w:t>
      </w:r>
      <w:r>
        <w:t xml:space="preserve">can enhance algal physiological activity and photosynthesis. Studies also show that elevated CO2 increases the sensitivity of photosystem II (PSII) photoinactivation to high lights</w:t>
      </w:r>
      <w:r>
        <w:t xml:space="preserve"> </w:t>
      </w:r>
      <w:r>
        <w:t xml:space="preserve">(Li et al. 2017)</w:t>
      </w:r>
      <w:r>
        <w:t xml:space="preserve">, and even alters the planktonic algae community</w:t>
      </w:r>
      <w:r>
        <w:t xml:space="preserve"> </w:t>
      </w:r>
      <w:r>
        <w:t xml:space="preserve">(Mou et al. 2018)</w:t>
      </w:r>
      <w:r>
        <w:t xml:space="preserve">.</w:t>
      </w:r>
      <w:r>
        <w:t xml:space="preserve"> </w:t>
      </w:r>
      <w:r>
        <w:t xml:space="preserve">Cyanobacteria convert a fraction of the available light energy into mechanical energy to overcome frictional forces in the environment, providing insight into the regulation of photosynthesis and how microorganisms navigate their physical environment</w:t>
      </w:r>
      <w:r>
        <w:t xml:space="preserve"> </w:t>
      </w:r>
      <w:r>
        <w:t xml:space="preserve">(Moore et al. 2020)</w:t>
      </w:r>
      <w:r>
        <w:t xml:space="preserve">.</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M.S. ensured the proper operation of the photobioreactors.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3" w:name="references"/>
    <w:p>
      <w:pPr>
        <w:pStyle w:val="Heading1"/>
      </w:pPr>
      <w:r>
        <w:t xml:space="preserve">References</w:t>
      </w:r>
    </w:p>
    <w:bookmarkStart w:id="252"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X30cea3580c16855f9d89aaa53f7c7533fb5925c"/>
    <w:p>
      <w:pPr>
        <w:pStyle w:val="Bibliography"/>
      </w:pPr>
      <w:r>
        <w:t xml:space="preserve">Chakdar, H., and S. Pabbi. 2016.</w:t>
      </w:r>
      <w:r>
        <w:t xml:space="preserve"> </w:t>
      </w:r>
      <w:hyperlink r:id="rId108">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9"/>
    <w:bookmarkStart w:id="111"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0">
        <w:r>
          <w:rPr>
            <w:rStyle w:val="Hyperlink"/>
          </w:rPr>
          <w:t xml:space="preserve">10.1111/nph.17903</w:t>
        </w:r>
      </w:hyperlink>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b7bf1f0f86588682b7b5eb14172209be3913c80"/>
    <w:p>
      <w:pPr>
        <w:pStyle w:val="Bibliography"/>
      </w:pPr>
      <w:r>
        <w:t xml:space="preserve">Giannini, M. F. C. 2016.</w:t>
      </w:r>
      <w:r>
        <w:t xml:space="preserve"> </w:t>
      </w:r>
      <w:hyperlink r:id="rId127">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8"/>
    <w:bookmarkStart w:id="130"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9">
        <w:r>
          <w:rPr>
            <w:rStyle w:val="Hyperlink"/>
          </w:rPr>
          <w:t xml:space="preserve">10.3354/meps052099</w:t>
        </w:r>
      </w:hyperlink>
    </w:p>
    <w:bookmarkEnd w:id="130"/>
    <w:bookmarkStart w:id="132"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1">
        <w:r>
          <w:rPr>
            <w:rStyle w:val="Hyperlink"/>
          </w:rPr>
          <w:t xml:space="preserve">10.1073/pnas.1717069115</w:t>
        </w:r>
      </w:hyperlink>
    </w:p>
    <w:bookmarkEnd w:id="132"/>
    <w:bookmarkStart w:id="134" w:name="Xd7d6b0bcb60aabcb149933a8690177800745aff"/>
    <w:p>
      <w:pPr>
        <w:pStyle w:val="Bibliography"/>
      </w:pPr>
      <w:r>
        <w:t xml:space="preserve">Guillard, R. R. L. 1975.</w:t>
      </w:r>
      <w:r>
        <w:t xml:space="preserve"> </w:t>
      </w:r>
      <w:hyperlink r:id="rId133">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4"/>
    <w:bookmarkStart w:id="136"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5">
        <w:r>
          <w:rPr>
            <w:rStyle w:val="Hyperlink"/>
          </w:rPr>
          <w:t xml:space="preserve">10.1016/j.algal.2017.04.009</w:t>
        </w:r>
      </w:hyperlink>
    </w:p>
    <w:bookmarkEnd w:id="136"/>
    <w:bookmarkStart w:id="137"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7"/>
    <w:bookmarkStart w:id="13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8"/>
    <w:bookmarkStart w:id="140"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9">
        <w:r>
          <w:rPr>
            <w:rStyle w:val="Hyperlink"/>
          </w:rPr>
          <w:t xml:space="preserve">10.1038/ismej.2008.118</w:t>
        </w:r>
      </w:hyperlink>
    </w:p>
    <w:bookmarkEnd w:id="140"/>
    <w:bookmarkStart w:id="142"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1">
        <w:r>
          <w:rPr>
            <w:rStyle w:val="Hyperlink"/>
          </w:rPr>
          <w:t xml:space="preserve">10.5194/bg-8-311-2011</w:t>
        </w:r>
      </w:hyperlink>
    </w:p>
    <w:bookmarkEnd w:id="142"/>
    <w:bookmarkStart w:id="144"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3">
        <w:r>
          <w:rPr>
            <w:rStyle w:val="Hyperlink"/>
          </w:rPr>
          <w:t xml:space="preserve">10.1016/j.pbi.2017.03.006</w:t>
        </w:r>
      </w:hyperlink>
    </w:p>
    <w:bookmarkEnd w:id="144"/>
    <w:bookmarkStart w:id="14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5">
        <w:r>
          <w:rPr>
            <w:rStyle w:val="Hyperlink"/>
          </w:rPr>
          <w:t xml:space="preserve">10.1038/s41559-020-01330-x</w:t>
        </w:r>
      </w:hyperlink>
    </w:p>
    <w:bookmarkEnd w:id="146"/>
    <w:bookmarkStart w:id="14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7">
        <w:r>
          <w:rPr>
            <w:rStyle w:val="Hyperlink"/>
          </w:rPr>
          <w:t xml:space="preserve">10.1086/338511</w:t>
        </w:r>
      </w:hyperlink>
    </w:p>
    <w:bookmarkEnd w:id="148"/>
    <w:bookmarkStart w:id="15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9">
        <w:r>
          <w:rPr>
            <w:rStyle w:val="Hyperlink"/>
          </w:rPr>
          <w:t xml:space="preserve">10.1038/nclimate3147</w:t>
        </w:r>
      </w:hyperlink>
    </w:p>
    <w:bookmarkEnd w:id="150"/>
    <w:bookmarkStart w:id="15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1">
        <w:r>
          <w:rPr>
            <w:rStyle w:val="Hyperlink"/>
          </w:rPr>
          <w:t xml:space="preserve">10.1016/j.cep.2008.04.007</w:t>
        </w:r>
      </w:hyperlink>
    </w:p>
    <w:bookmarkEnd w:id="152"/>
    <w:bookmarkStart w:id="15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3">
        <w:r>
          <w:rPr>
            <w:rStyle w:val="Hyperlink"/>
          </w:rPr>
          <w:t xml:space="preserve">10.1016/j.jphotobiol.2005.10.002</w:t>
        </w:r>
      </w:hyperlink>
    </w:p>
    <w:bookmarkEnd w:id="154"/>
    <w:bookmarkStart w:id="155"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5"/>
    <w:bookmarkStart w:id="156"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6"/>
    <w:bookmarkStart w:id="15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7">
        <w:r>
          <w:rPr>
            <w:rStyle w:val="Hyperlink"/>
          </w:rPr>
          <w:t xml:space="preserve">10.1016/j.biortech.2020.123700</w:t>
        </w:r>
      </w:hyperlink>
    </w:p>
    <w:bookmarkEnd w:id="158"/>
    <w:bookmarkStart w:id="16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9">
        <w:r>
          <w:rPr>
            <w:rStyle w:val="Hyperlink"/>
          </w:rPr>
          <w:t xml:space="preserve">10.1016/S0005-2728(98)00135-2</w:t>
        </w:r>
      </w:hyperlink>
    </w:p>
    <w:bookmarkEnd w:id="160"/>
    <w:bookmarkStart w:id="162"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1">
        <w:r>
          <w:rPr>
            <w:rStyle w:val="Hyperlink"/>
          </w:rPr>
          <w:t xml:space="preserve">10.1038/s41598-021-91106-5</w:t>
        </w:r>
      </w:hyperlink>
    </w:p>
    <w:bookmarkEnd w:id="162"/>
    <w:bookmarkStart w:id="164" w:name="X0484b3dfebfaa14160c541e1fe2290095bae149"/>
    <w:p>
      <w:pPr>
        <w:pStyle w:val="Bibliography"/>
      </w:pPr>
      <w:r>
        <w:t xml:space="preserve">LaRoche, J., and B. M. Robicheau. 2022.</w:t>
      </w:r>
      <w:r>
        <w:t xml:space="preserve"> </w:t>
      </w:r>
      <w:hyperlink r:id="rId16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4"/>
    <w:bookmarkStart w:id="165"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5"/>
    <w:bookmarkStart w:id="167"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6">
        <w:r>
          <w:rPr>
            <w:rStyle w:val="Hyperlink"/>
          </w:rPr>
          <w:t xml:space="preserve">10.1111/jpy.12483</w:t>
        </w:r>
      </w:hyperlink>
    </w:p>
    <w:bookmarkEnd w:id="167"/>
    <w:bookmarkStart w:id="16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8">
        <w:r>
          <w:rPr>
            <w:rStyle w:val="Hyperlink"/>
          </w:rPr>
          <w:t xml:space="preserve">10.1093/plankt/fbv008</w:t>
        </w:r>
      </w:hyperlink>
    </w:p>
    <w:bookmarkEnd w:id="169"/>
    <w:bookmarkStart w:id="171" w:name="X1fa63fd480d0916fa60113cb089a7102c347762"/>
    <w:p>
      <w:pPr>
        <w:pStyle w:val="Bibliography"/>
      </w:pPr>
      <w:r>
        <w:t xml:space="preserve">Li, W. K. W. 1995.</w:t>
      </w:r>
      <w:r>
        <w:t xml:space="preserve"> </w:t>
      </w:r>
      <w:hyperlink r:id="rId17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1"/>
    <w:bookmarkStart w:id="17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2"/>
    <w:bookmarkStart w:id="17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3">
        <w:r>
          <w:rPr>
            <w:rStyle w:val="Hyperlink"/>
          </w:rPr>
          <w:t xml:space="preserve">10.1038/s41598-022-07009-6</w:t>
        </w:r>
      </w:hyperlink>
    </w:p>
    <w:bookmarkEnd w:id="174"/>
    <w:bookmarkStart w:id="175"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5"/>
    <w:bookmarkStart w:id="177"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6">
        <w:r>
          <w:rPr>
            <w:rStyle w:val="Hyperlink"/>
          </w:rPr>
          <w:t xml:space="preserve">10.1093/jxb/erx137</w:t>
        </w:r>
      </w:hyperlink>
    </w:p>
    <w:bookmarkEnd w:id="177"/>
    <w:bookmarkStart w:id="179" w:name="X2c02774ddc459dfaef22496ee09937e8f1a5be4"/>
    <w:p>
      <w:pPr>
        <w:pStyle w:val="Bibliography"/>
      </w:pPr>
      <w:r>
        <w:t xml:space="preserve">Moore, K. A., S. Altus, J. W. Tay, J. B. Meehl, E. B. Johnson, D. M. Bortz, and J. C. Cameron. 2020. Mechanical regulation of photosynthesis in cyanobacteria. Nature Microbiology</w:t>
      </w:r>
      <w:r>
        <w:t xml:space="preserve"> </w:t>
      </w:r>
      <w:r>
        <w:rPr>
          <w:bCs/>
          <w:b/>
        </w:rPr>
        <w:t xml:space="preserve">5</w:t>
      </w:r>
      <w:r>
        <w:t xml:space="preserve">: 757–767. doi:</w:t>
      </w:r>
      <w:hyperlink r:id="rId178">
        <w:r>
          <w:rPr>
            <w:rStyle w:val="Hyperlink"/>
          </w:rPr>
          <w:t xml:space="preserve">10.1038/s41564-020-0684-2</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4">
        <w:r>
          <w:rPr>
            <w:rStyle w:val="Hyperlink"/>
          </w:rPr>
          <w:t xml:space="preserve">10.1007/s11430-017-9206-5</w:t>
        </w:r>
      </w:hyperlink>
    </w:p>
    <w:bookmarkEnd w:id="185"/>
    <w:bookmarkStart w:id="187" w:name="ref-ortmannLysogenyLyticViral2002"/>
    <w:p>
      <w:pPr>
        <w:pStyle w:val="Bibliography"/>
      </w:pPr>
      <w:r>
        <w:t xml:space="preserve">Ortmann, A. C., J. E. Lawrence, and C. A. Suttle. 2002.</w:t>
      </w:r>
      <w:r>
        <w:t xml:space="preserve"> </w:t>
      </w:r>
      <w:hyperlink r:id="rId186">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7"/>
    <w:bookmarkStart w:id="189"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8">
        <w:r>
          <w:rPr>
            <w:rStyle w:val="Hyperlink"/>
          </w:rPr>
          <w:t xml:space="preserve">10.1023/A:1005936823310</w:t>
        </w:r>
      </w:hyperlink>
    </w:p>
    <w:bookmarkEnd w:id="189"/>
    <w:bookmarkStart w:id="19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0">
        <w:r>
          <w:rPr>
            <w:rStyle w:val="Hyperlink"/>
          </w:rPr>
          <w:t xml:space="preserve">10.4319/lom.2012.10.142</w:t>
        </w:r>
      </w:hyperlink>
    </w:p>
    <w:bookmarkEnd w:id="191"/>
    <w:bookmarkStart w:id="19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2"/>
    <w:bookmarkStart w:id="19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3">
        <w:r>
          <w:rPr>
            <w:rStyle w:val="Hyperlink"/>
          </w:rPr>
          <w:t xml:space="preserve">10.4319/lo.1991.36.7.1457</w:t>
        </w:r>
      </w:hyperlink>
    </w:p>
    <w:bookmarkEnd w:id="194"/>
    <w:bookmarkStart w:id="19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5"/>
    <w:bookmarkStart w:id="197"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6">
        <w:r>
          <w:rPr>
            <w:rStyle w:val="Hyperlink"/>
          </w:rPr>
          <w:t xml:space="preserve">10.5194/egusphere-2024-847</w:t>
        </w:r>
      </w:hyperlink>
    </w:p>
    <w:bookmarkEnd w:id="197"/>
    <w:bookmarkStart w:id="19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8"/>
    <w:bookmarkStart w:id="200" w:name="X7ac1c1f90fb15f6f8263b8f596c9dd14cc41ec6"/>
    <w:p>
      <w:pPr>
        <w:pStyle w:val="Bibliography"/>
      </w:pPr>
      <w:r>
        <w:t xml:space="preserve">Riethman, H., G. Bullerjahn, K. J. Reddy, and L. A. Sherman. 1988.</w:t>
      </w:r>
      <w:r>
        <w:t xml:space="preserve"> </w:t>
      </w:r>
      <w:hyperlink r:id="rId199">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0"/>
    <w:bookmarkStart w:id="201" w:name="ref-ryanXtsEXtensibleTime2024"/>
    <w:p>
      <w:pPr>
        <w:pStyle w:val="Bibliography"/>
      </w:pPr>
      <w:r>
        <w:t xml:space="preserve">Ryan, J. A., J. M. Ulrich, R. Bennett, and C. Joy. 2024. Xts:</w:t>
      </w:r>
      <w:r>
        <w:t xml:space="preserve"> </w:t>
      </w:r>
      <w:r>
        <w:t xml:space="preserve">eXtensible Time Series</w:t>
      </w:r>
      <w:r>
        <w:t xml:space="preserve">.</w:t>
      </w:r>
    </w:p>
    <w:bookmarkEnd w:id="201"/>
    <w:bookmarkStart w:id="203"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2">
        <w:r>
          <w:rPr>
            <w:rStyle w:val="Hyperlink"/>
          </w:rPr>
          <w:t xml:space="preserve">10.1104/pp.119.2.785</w:t>
        </w:r>
      </w:hyperlink>
    </w:p>
    <w:bookmarkEnd w:id="203"/>
    <w:bookmarkStart w:id="20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4">
        <w:r>
          <w:rPr>
            <w:rStyle w:val="Hyperlink"/>
          </w:rPr>
          <w:t xml:space="preserve">10.1038/sdata.2017.98</w:t>
        </w:r>
      </w:hyperlink>
    </w:p>
    <w:bookmarkEnd w:id="205"/>
    <w:bookmarkStart w:id="20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6">
        <w:r>
          <w:rPr>
            <w:rStyle w:val="Hyperlink"/>
          </w:rPr>
          <w:t xml:space="preserve">10.1007/s11120-016-0329-8</w:t>
        </w:r>
      </w:hyperlink>
    </w:p>
    <w:bookmarkEnd w:id="207"/>
    <w:bookmarkStart w:id="208" w:name="ref-serwayModernPhysics2004"/>
    <w:p>
      <w:pPr>
        <w:pStyle w:val="Bibliography"/>
      </w:pPr>
      <w:r>
        <w:t xml:space="preserve">Serway, R. A., C. J. Moses, and C. A. Moyer. 2004. Modern</w:t>
      </w:r>
      <w:r>
        <w:t xml:space="preserve"> </w:t>
      </w:r>
      <w:r>
        <w:t xml:space="preserve">Physics</w:t>
      </w:r>
      <w:r>
        <w:t xml:space="preserve">, Cengage Learning.</w:t>
      </w:r>
    </w:p>
    <w:bookmarkEnd w:id="208"/>
    <w:bookmarkStart w:id="21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9">
        <w:r>
          <w:rPr>
            <w:rStyle w:val="Hyperlink"/>
          </w:rPr>
          <w:t xml:space="preserve">10.1371/journal.pone.0001341</w:t>
        </w:r>
      </w:hyperlink>
    </w:p>
    <w:bookmarkEnd w:id="210"/>
    <w:bookmarkStart w:id="21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1">
        <w:r>
          <w:rPr>
            <w:rStyle w:val="Hyperlink"/>
          </w:rPr>
          <w:t xml:space="preserve">10.1073/pnas.2111300118</w:t>
        </w:r>
      </w:hyperlink>
    </w:p>
    <w:bookmarkEnd w:id="212"/>
    <w:bookmarkStart w:id="21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3">
        <w:r>
          <w:rPr>
            <w:rStyle w:val="Hyperlink"/>
          </w:rPr>
          <w:t xml:space="preserve">10.5194/bg-15-6257-2018</w:t>
        </w:r>
      </w:hyperlink>
    </w:p>
    <w:bookmarkEnd w:id="214"/>
    <w:bookmarkStart w:id="21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5">
        <w:r>
          <w:rPr>
            <w:rStyle w:val="Hyperlink"/>
          </w:rPr>
          <w:t xml:space="preserve">10.3390/cells9092030</w:t>
        </w:r>
      </w:hyperlink>
    </w:p>
    <w:bookmarkEnd w:id="216"/>
    <w:bookmarkStart w:id="218"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7">
        <w:r>
          <w:rPr>
            <w:rStyle w:val="Hyperlink"/>
          </w:rPr>
          <w:t xml:space="preserve">10.3390/toxins10010048</w:t>
        </w:r>
      </w:hyperlink>
    </w:p>
    <w:bookmarkEnd w:id="218"/>
    <w:bookmarkStart w:id="22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9">
        <w:r>
          <w:rPr>
            <w:rStyle w:val="Hyperlink"/>
          </w:rPr>
          <w:t xml:space="preserve">10.1134/S0026261715020150</w:t>
        </w:r>
      </w:hyperlink>
    </w:p>
    <w:bookmarkEnd w:id="220"/>
    <w:bookmarkStart w:id="22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1">
        <w:r>
          <w:rPr>
            <w:rStyle w:val="Hyperlink"/>
          </w:rPr>
          <w:t xml:space="preserve">DOI: http://dx.doi.org/10.25607/OBP-1791</w:t>
        </w:r>
      </w:hyperlink>
    </w:p>
    <w:bookmarkEnd w:id="222"/>
    <w:bookmarkStart w:id="223"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3"/>
    <w:bookmarkStart w:id="225"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4">
        <w:r>
          <w:rPr>
            <w:rStyle w:val="Hyperlink"/>
          </w:rPr>
          <w:t xml:space="preserve">10.1111/oik.08839</w:t>
        </w:r>
      </w:hyperlink>
    </w:p>
    <w:bookmarkEnd w:id="225"/>
    <w:bookmarkStart w:id="227"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6">
        <w:r>
          <w:rPr>
            <w:rStyle w:val="Hyperlink"/>
          </w:rPr>
          <w:t xml:space="preserve">10.1111/j.1365-2427.2008.02119.x</w:t>
        </w:r>
      </w:hyperlink>
    </w:p>
    <w:bookmarkEnd w:id="227"/>
    <w:bookmarkStart w:id="229" w:name="ref-tortellUserGuideApplication2021"/>
    <w:p>
      <w:pPr>
        <w:pStyle w:val="Bibliography"/>
      </w:pPr>
      <w:r>
        <w:t xml:space="preserve">Tortell, P., D. J. Suggett, and S. W. Group156. 2021.</w:t>
      </w:r>
      <w:r>
        <w:t xml:space="preserve"> </w:t>
      </w:r>
      <w:hyperlink r:id="rId228">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9"/>
    <w:bookmarkStart w:id="231"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0">
        <w:r>
          <w:rPr>
            <w:rStyle w:val="Hyperlink"/>
          </w:rPr>
          <w:t xml:space="preserve">10.1002/biot.201700764</w:t>
        </w:r>
      </w:hyperlink>
    </w:p>
    <w:bookmarkEnd w:id="231"/>
    <w:bookmarkStart w:id="232"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2"/>
    <w:bookmarkStart w:id="234"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3">
        <w:r>
          <w:rPr>
            <w:rStyle w:val="Hyperlink"/>
          </w:rPr>
          <w:t xml:space="preserve">10.1029/1999JC000308</w:t>
        </w:r>
      </w:hyperlink>
    </w:p>
    <w:bookmarkEnd w:id="234"/>
    <w:bookmarkStart w:id="236" w:name="ref-wickhamDataAnalysis2016"/>
    <w:p>
      <w:pPr>
        <w:pStyle w:val="Bibliography"/>
      </w:pPr>
      <w:r>
        <w:t xml:space="preserve">Wickham, H. 2016.</w:t>
      </w:r>
      <w:r>
        <w:t xml:space="preserve"> </w:t>
      </w:r>
      <w:hyperlink r:id="rId235">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6"/>
    <w:bookmarkStart w:id="238"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7">
        <w:r>
          <w:rPr>
            <w:rStyle w:val="Hyperlink"/>
          </w:rPr>
          <w:t xml:space="preserve">10.1002/cyto.a.24508</w:t>
        </w:r>
      </w:hyperlink>
    </w:p>
    <w:bookmarkEnd w:id="238"/>
    <w:bookmarkStart w:id="239"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39"/>
    <w:bookmarkStart w:id="241" w:name="ref-woodGeneralizedAdditiveModels2017"/>
    <w:p>
      <w:pPr>
        <w:pStyle w:val="Bibliography"/>
      </w:pPr>
      <w:r>
        <w:t xml:space="preserve">Wood, S. N. 2017.</w:t>
      </w:r>
      <w:r>
        <w:t xml:space="preserve"> </w:t>
      </w:r>
      <w:hyperlink r:id="rId24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2024-04-25T17:40:52Z</dcterms:created>
  <dcterms:modified xsi:type="dcterms:W3CDTF">2024-04-25T17:40:52Z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